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3FC35" w14:textId="5D2CF8CA" w:rsidR="00933B90" w:rsidRDefault="00933B90" w:rsidP="00933B90">
      <w:r>
        <w:t>Uczestnicy warsztatów wskazali na pozytywny wpływ doświadczenia nabytego w trakcie dotychczasowej działalności, na skuteczność wdrażania LSR.</w:t>
      </w:r>
    </w:p>
    <w:p w14:paraId="21514CF4" w14:textId="77777777" w:rsidR="00933B90" w:rsidRDefault="00933B90" w:rsidP="00933B90"/>
    <w:p w14:paraId="1AFF693A" w14:textId="4701F1E0" w:rsidR="00933B90" w:rsidRDefault="00933B90" w:rsidP="00933B90">
      <w:r>
        <w:t>Wdrażaniu sprzyja wysoka pozycja LGD w lokalnych środowiskach, prestiż i uznanie ze strony lokalnych władz i podmiotów funkcjonujących na obszarze, a także wzrost stopnia identyfikacji mieszkańców z obszarem – budująca się tożsamość wynikająca między innymi z lepszego poznania potencjału i atrakcyjności tego obszaru.</w:t>
      </w:r>
    </w:p>
    <w:p w14:paraId="30A8F1EC" w14:textId="77777777" w:rsidR="00933B90" w:rsidRDefault="00933B90" w:rsidP="00933B90">
      <w:bookmarkStart w:id="0" w:name="_GoBack"/>
      <w:bookmarkEnd w:id="0"/>
    </w:p>
    <w:p w14:paraId="5374A62B" w14:textId="77777777" w:rsidR="00933B90" w:rsidRDefault="00933B90" w:rsidP="00933B90">
      <w:r>
        <w:t>Wzmocnieniu wpływu LGD na rozwój lokalny w przyszłości będą mieć wpływ rekomendowane rozwiązania w zakresie:</w:t>
      </w:r>
    </w:p>
    <w:p w14:paraId="0A272A10" w14:textId="3D17A021" w:rsidR="001B0CD5" w:rsidRDefault="001B0CD5" w:rsidP="001B0CD5"/>
    <w:p w14:paraId="4E66EA07" w14:textId="77777777" w:rsidR="00933B90" w:rsidRDefault="00933B90" w:rsidP="001B0CD5"/>
    <w:p w14:paraId="2B9B9187" w14:textId="78BA4061" w:rsidR="00423AB0" w:rsidRDefault="00D50967" w:rsidP="001B0CD5">
      <w:r>
        <w:t xml:space="preserve">LSR </w:t>
      </w:r>
      <w:r w:rsidR="005055D8">
        <w:t xml:space="preserve">JAKO DOKUMENT </w:t>
      </w:r>
      <w:r>
        <w:t xml:space="preserve">- </w:t>
      </w:r>
      <w:r w:rsidR="00423AB0">
        <w:t>REKOMENDACJE:</w:t>
      </w:r>
    </w:p>
    <w:p w14:paraId="6E4CDC48" w14:textId="605D1C66" w:rsidR="009164B0" w:rsidRDefault="009376EB" w:rsidP="009164B0">
      <w:pPr>
        <w:pStyle w:val="Akapitzlist"/>
        <w:numPr>
          <w:ilvl w:val="0"/>
          <w:numId w:val="5"/>
        </w:numPr>
      </w:pPr>
      <w:r>
        <w:t xml:space="preserve">zwarta, </w:t>
      </w:r>
      <w:r w:rsidR="004B6C4F">
        <w:t xml:space="preserve">zrozumiała, </w:t>
      </w:r>
      <w:r>
        <w:t>krótka instrukcja do LSR</w:t>
      </w:r>
      <w:r w:rsidR="00A16AFB">
        <w:t xml:space="preserve"> przed jej tworzeniem</w:t>
      </w:r>
    </w:p>
    <w:p w14:paraId="0A2AA7D0" w14:textId="47FE0E84" w:rsidR="00423AB0" w:rsidRDefault="00423AB0" w:rsidP="00423AB0">
      <w:pPr>
        <w:pStyle w:val="Akapitzlist"/>
        <w:numPr>
          <w:ilvl w:val="0"/>
          <w:numId w:val="5"/>
        </w:numPr>
      </w:pPr>
      <w:r>
        <w:t>uproszczone wspólne procedury</w:t>
      </w:r>
    </w:p>
    <w:p w14:paraId="69BC61B6" w14:textId="3FEC3A0E" w:rsidR="00423AB0" w:rsidRDefault="00423AB0" w:rsidP="00423AB0">
      <w:pPr>
        <w:pStyle w:val="Akapitzlist"/>
        <w:numPr>
          <w:ilvl w:val="0"/>
          <w:numId w:val="5"/>
        </w:numPr>
      </w:pPr>
      <w:r>
        <w:t>jeden generator</w:t>
      </w:r>
      <w:r w:rsidR="004B6C4F">
        <w:t xml:space="preserve"> wniosków, </w:t>
      </w:r>
      <w:r w:rsidR="00E672BB">
        <w:t>rozbudowany o etap oceny przez UM</w:t>
      </w:r>
    </w:p>
    <w:p w14:paraId="33550362" w14:textId="1DC52D6F" w:rsidR="00423AB0" w:rsidRDefault="00423AB0" w:rsidP="00423AB0">
      <w:pPr>
        <w:pStyle w:val="Akapitzlist"/>
        <w:numPr>
          <w:ilvl w:val="0"/>
          <w:numId w:val="5"/>
        </w:numPr>
      </w:pPr>
      <w:r>
        <w:t>poprawa jako</w:t>
      </w:r>
      <w:r w:rsidR="00C205B0">
        <w:t>ś</w:t>
      </w:r>
      <w:r w:rsidR="00C336B6">
        <w:t>ci strategii –</w:t>
      </w:r>
      <w:r w:rsidR="00C205B0">
        <w:t xml:space="preserve"> diagnoza oparta na </w:t>
      </w:r>
      <w:r w:rsidR="00711916">
        <w:t>ogólno</w:t>
      </w:r>
      <w:r w:rsidR="00C205B0">
        <w:t>dostępnych danych</w:t>
      </w:r>
    </w:p>
    <w:p w14:paraId="5AE226F4" w14:textId="7148FEBA" w:rsidR="00361E0F" w:rsidRDefault="00361E0F" w:rsidP="00423AB0">
      <w:pPr>
        <w:pStyle w:val="Akapitzlist"/>
        <w:numPr>
          <w:ilvl w:val="0"/>
          <w:numId w:val="5"/>
        </w:numPr>
      </w:pPr>
      <w:r>
        <w:t>elastyczno</w:t>
      </w:r>
      <w:r w:rsidR="00C205B0">
        <w:t>ść LSR</w:t>
      </w:r>
      <w:r w:rsidR="00A13F05">
        <w:t>, możliwość aktualizacji</w:t>
      </w:r>
      <w:r w:rsidR="00A16AFB">
        <w:t xml:space="preserve"> </w:t>
      </w:r>
    </w:p>
    <w:p w14:paraId="64561514" w14:textId="647C0885" w:rsidR="00711916" w:rsidRDefault="00C205B0" w:rsidP="00423AB0">
      <w:pPr>
        <w:pStyle w:val="Akapitzlist"/>
        <w:numPr>
          <w:ilvl w:val="0"/>
          <w:numId w:val="5"/>
        </w:numPr>
      </w:pPr>
      <w:r>
        <w:t>se</w:t>
      </w:r>
      <w:r w:rsidR="00711916">
        <w:t>lektywny dobór priorytetów</w:t>
      </w:r>
      <w:r w:rsidR="00FB3CF3">
        <w:t xml:space="preserve"> </w:t>
      </w:r>
      <w:r w:rsidR="00E672BB">
        <w:t xml:space="preserve">i ich liczby </w:t>
      </w:r>
      <w:r w:rsidR="00FB3CF3">
        <w:t>– decyzja LGD</w:t>
      </w:r>
    </w:p>
    <w:p w14:paraId="5A2F4C85" w14:textId="16535C31" w:rsidR="00C205B0" w:rsidRDefault="00CC2E1E" w:rsidP="00423AB0">
      <w:pPr>
        <w:pStyle w:val="Akapitzlist"/>
        <w:numPr>
          <w:ilvl w:val="0"/>
          <w:numId w:val="5"/>
        </w:numPr>
      </w:pPr>
      <w:r>
        <w:t>możliwość okresowej aktualizacji wska</w:t>
      </w:r>
      <w:r w:rsidR="00EF7CF0">
        <w:t>źników i priorytetów</w:t>
      </w:r>
    </w:p>
    <w:p w14:paraId="7DD9D9A6" w14:textId="6A8773C3" w:rsidR="00155E28" w:rsidRDefault="00155E28" w:rsidP="00B769F0">
      <w:pPr>
        <w:pStyle w:val="Akapitzlist"/>
        <w:numPr>
          <w:ilvl w:val="0"/>
          <w:numId w:val="5"/>
        </w:numPr>
      </w:pPr>
      <w:r>
        <w:t xml:space="preserve">czy LSR wąsko czy szeroko </w:t>
      </w:r>
      <w:r w:rsidR="00D50967">
        <w:t>–</w:t>
      </w:r>
      <w:r w:rsidR="000675C3">
        <w:t xml:space="preserve"> strategie szerokie </w:t>
      </w:r>
      <w:r w:rsidR="00480063">
        <w:t xml:space="preserve">– dokument ogólny, który można już tworzyć,  </w:t>
      </w:r>
      <w:r w:rsidR="000675C3">
        <w:t xml:space="preserve">a potem doprecyzowane w formie </w:t>
      </w:r>
      <w:r w:rsidR="00480063">
        <w:t xml:space="preserve">krótkookresowego planu </w:t>
      </w:r>
      <w:r w:rsidR="000675C3">
        <w:t>finansowanego z RLKS lub inny</w:t>
      </w:r>
      <w:r w:rsidR="00B769F0">
        <w:t>ch źródeł</w:t>
      </w:r>
    </w:p>
    <w:p w14:paraId="1D0029E4" w14:textId="3C7E87AD" w:rsidR="00B769F0" w:rsidRDefault="005D1283" w:rsidP="00B769F0">
      <w:pPr>
        <w:pStyle w:val="Akapitzlist"/>
        <w:numPr>
          <w:ilvl w:val="0"/>
          <w:numId w:val="5"/>
        </w:numPr>
      </w:pPr>
      <w:r>
        <w:t>wsparcie eksperckie</w:t>
      </w:r>
      <w:r w:rsidR="00DE476A">
        <w:t>/animacyjne</w:t>
      </w:r>
      <w:r>
        <w:t xml:space="preserve"> w opracowaniu LSR dla LGD „słabszych” </w:t>
      </w:r>
      <w:r w:rsidR="00487498">
        <w:t>– w drodze negocjacji dojść do minimum (obszar bez białych plam)</w:t>
      </w:r>
    </w:p>
    <w:p w14:paraId="7E5275CF" w14:textId="055FC391" w:rsidR="00487498" w:rsidRDefault="00A16AFB" w:rsidP="00A16AFB">
      <w:pPr>
        <w:pStyle w:val="Akapitzlist"/>
        <w:numPr>
          <w:ilvl w:val="0"/>
          <w:numId w:val="5"/>
        </w:numPr>
      </w:pPr>
      <w:r>
        <w:t xml:space="preserve">konsultacje społeczne </w:t>
      </w:r>
      <w:r w:rsidR="00E672BB">
        <w:t xml:space="preserve">z mieszkańcami </w:t>
      </w:r>
      <w:r>
        <w:t>tylko w zakresie głównych założeń LSR</w:t>
      </w:r>
    </w:p>
    <w:p w14:paraId="3066AADE" w14:textId="0E87BF72" w:rsidR="00C205B0" w:rsidRDefault="00FA1349" w:rsidP="00423AB0">
      <w:pPr>
        <w:pStyle w:val="Akapitzlist"/>
        <w:numPr>
          <w:ilvl w:val="0"/>
          <w:numId w:val="5"/>
        </w:numPr>
      </w:pPr>
      <w:r>
        <w:t>system wdrażania tworzony przy udziale wszystkich interesariuszy</w:t>
      </w:r>
    </w:p>
    <w:p w14:paraId="4EBF38E0" w14:textId="77777777" w:rsidR="00F97DFB" w:rsidRDefault="00F97DFB" w:rsidP="005055D8">
      <w:pPr>
        <w:pStyle w:val="Akapitzlist"/>
      </w:pPr>
    </w:p>
    <w:p w14:paraId="1C44AE9E" w14:textId="77777777" w:rsidR="005055D8" w:rsidRDefault="005055D8" w:rsidP="005055D8">
      <w:pPr>
        <w:pStyle w:val="Akapitzlist"/>
      </w:pPr>
    </w:p>
    <w:p w14:paraId="4303D787" w14:textId="0338BE31" w:rsidR="00C205B0" w:rsidRDefault="00A16AFB" w:rsidP="00A16AFB">
      <w:r>
        <w:t xml:space="preserve">LGD </w:t>
      </w:r>
      <w:r w:rsidR="00370E1C">
        <w:t>JAKO ORGANIZACJA</w:t>
      </w:r>
      <w:r>
        <w:t xml:space="preserve">– REKOMENDACJE </w:t>
      </w:r>
    </w:p>
    <w:p w14:paraId="2237B3FD" w14:textId="0F658B05" w:rsidR="00A16AFB" w:rsidRDefault="003717CD" w:rsidP="003717CD">
      <w:pPr>
        <w:pStyle w:val="Akapitzlist"/>
        <w:numPr>
          <w:ilvl w:val="0"/>
          <w:numId w:val="7"/>
        </w:numPr>
      </w:pPr>
      <w:r>
        <w:t>ograniczenie ilości dokumentów wytwarzanych przez Rady</w:t>
      </w:r>
    </w:p>
    <w:p w14:paraId="106F0D7F" w14:textId="31F5B274" w:rsidR="003717CD" w:rsidRDefault="003717CD" w:rsidP="003717CD">
      <w:pPr>
        <w:pStyle w:val="Akapitzlist"/>
        <w:numPr>
          <w:ilvl w:val="0"/>
          <w:numId w:val="7"/>
        </w:numPr>
      </w:pPr>
      <w:r>
        <w:t>uprościć kryteria</w:t>
      </w:r>
    </w:p>
    <w:p w14:paraId="4592F60A" w14:textId="110D1C01" w:rsidR="003717CD" w:rsidRDefault="003717CD" w:rsidP="003717CD">
      <w:pPr>
        <w:pStyle w:val="Akapitzlist"/>
        <w:numPr>
          <w:ilvl w:val="0"/>
          <w:numId w:val="7"/>
        </w:numPr>
      </w:pPr>
      <w:r>
        <w:t>określenie jednolitych kryteriów - katalog (</w:t>
      </w:r>
      <w:r w:rsidR="00E672BB">
        <w:t xml:space="preserve">propozycja I grupy - </w:t>
      </w:r>
      <w:r>
        <w:t>tylko 20% kryteriów własnych</w:t>
      </w:r>
      <w:r w:rsidR="00E672BB">
        <w:t>, 80% kryteriów narzuconych odgórnie</w:t>
      </w:r>
      <w:r>
        <w:t>)</w:t>
      </w:r>
    </w:p>
    <w:p w14:paraId="3F1C4F7C" w14:textId="3EF7FAAD" w:rsidR="003717CD" w:rsidRDefault="00FA1349" w:rsidP="00FA1349">
      <w:pPr>
        <w:pStyle w:val="Akapitzlist"/>
        <w:numPr>
          <w:ilvl w:val="0"/>
          <w:numId w:val="7"/>
        </w:numPr>
      </w:pPr>
      <w:r>
        <w:t xml:space="preserve">nie nakładanie </w:t>
      </w:r>
      <w:r w:rsidR="00E672BB">
        <w:t xml:space="preserve">się </w:t>
      </w:r>
      <w:r>
        <w:t>kompetencji LGD i SW</w:t>
      </w:r>
    </w:p>
    <w:p w14:paraId="18F5C89D" w14:textId="4A588E0C" w:rsidR="00F97DFB" w:rsidRDefault="00F97DFB" w:rsidP="00FA1349">
      <w:pPr>
        <w:pStyle w:val="Akapitzlist"/>
        <w:numPr>
          <w:ilvl w:val="0"/>
          <w:numId w:val="7"/>
        </w:numPr>
      </w:pPr>
      <w:r>
        <w:t xml:space="preserve">pozostawienie sektorowości </w:t>
      </w:r>
      <w:r w:rsidR="00E672BB">
        <w:t>w składzie Rady</w:t>
      </w:r>
    </w:p>
    <w:p w14:paraId="281DDD58" w14:textId="5E937354" w:rsidR="00F97DFB" w:rsidRDefault="00F97DFB" w:rsidP="00FA1349">
      <w:pPr>
        <w:pStyle w:val="Akapitzlist"/>
        <w:numPr>
          <w:ilvl w:val="0"/>
          <w:numId w:val="7"/>
        </w:numPr>
      </w:pPr>
      <w:r>
        <w:t>parytety tylko w zakresie wskazanym w rozporządzeniu UE</w:t>
      </w:r>
      <w:r w:rsidR="00D8443F">
        <w:t xml:space="preserve"> </w:t>
      </w:r>
    </w:p>
    <w:p w14:paraId="79C6F940" w14:textId="15E2BA71" w:rsidR="00FA1349" w:rsidRDefault="00FA1349" w:rsidP="00FA1349">
      <w:pPr>
        <w:pStyle w:val="Akapitzlist"/>
        <w:numPr>
          <w:ilvl w:val="0"/>
          <w:numId w:val="7"/>
        </w:numPr>
      </w:pPr>
      <w:r>
        <w:t>włączenie ekspertów do oceny</w:t>
      </w:r>
    </w:p>
    <w:p w14:paraId="61550662" w14:textId="3B248DD5" w:rsidR="00FA1349" w:rsidRDefault="00781738" w:rsidP="00FA1349">
      <w:pPr>
        <w:pStyle w:val="Akapitzlist"/>
        <w:numPr>
          <w:ilvl w:val="0"/>
          <w:numId w:val="7"/>
        </w:numPr>
      </w:pPr>
      <w:r>
        <w:t>niezawisłość i ostateczność wyboru Rady</w:t>
      </w:r>
      <w:r w:rsidR="00E4017E">
        <w:t xml:space="preserve"> – brak </w:t>
      </w:r>
      <w:r w:rsidR="00550CBC">
        <w:t>możliwości odwołania</w:t>
      </w:r>
      <w:r w:rsidR="00E4017E">
        <w:t xml:space="preserve"> do WSA</w:t>
      </w:r>
    </w:p>
    <w:p w14:paraId="61C8213A" w14:textId="72A7857C" w:rsidR="00781738" w:rsidRDefault="00781738" w:rsidP="00FA1349">
      <w:pPr>
        <w:pStyle w:val="Akapitzlist"/>
        <w:numPr>
          <w:ilvl w:val="0"/>
          <w:numId w:val="7"/>
        </w:numPr>
      </w:pPr>
      <w:r>
        <w:t>możliwość subiektywnego wyboru projektów</w:t>
      </w:r>
    </w:p>
    <w:p w14:paraId="4A0666EE" w14:textId="398ED2D3" w:rsidR="00781738" w:rsidRDefault="0036066C" w:rsidP="00FA1349">
      <w:pPr>
        <w:pStyle w:val="Akapitzlist"/>
        <w:numPr>
          <w:ilvl w:val="0"/>
          <w:numId w:val="7"/>
        </w:numPr>
      </w:pPr>
      <w:r>
        <w:t>mocną stroną jest znajomość lokalnej społeczności przez Radę, co często postrzegane jest przez SW jako „kumoterstwo”</w:t>
      </w:r>
    </w:p>
    <w:p w14:paraId="373AB53B" w14:textId="117C83DD" w:rsidR="0036066C" w:rsidRDefault="005B2518" w:rsidP="000C64AF">
      <w:pPr>
        <w:pStyle w:val="Akapitzlist"/>
        <w:numPr>
          <w:ilvl w:val="0"/>
          <w:numId w:val="7"/>
        </w:numPr>
      </w:pPr>
      <w:r>
        <w:t>fiszki projektowe (bez rozstrzygania na jakim etapie maj</w:t>
      </w:r>
      <w:r w:rsidR="000C64AF">
        <w:t>ą być przygotowywane) – Rada lepiej oceni pomysły ni</w:t>
      </w:r>
      <w:r w:rsidR="00A02955">
        <w:t>ż kompletne spełniające wymogi wnioski aplikacyjne</w:t>
      </w:r>
    </w:p>
    <w:p w14:paraId="4FDC2E82" w14:textId="4A855B36" w:rsidR="00CB3CC8" w:rsidRDefault="00883C47" w:rsidP="000C64AF">
      <w:pPr>
        <w:pStyle w:val="Akapitzlist"/>
        <w:numPr>
          <w:ilvl w:val="0"/>
          <w:numId w:val="7"/>
        </w:numPr>
      </w:pPr>
      <w:r>
        <w:t xml:space="preserve">większe zaufanie </w:t>
      </w:r>
      <w:r w:rsidR="00CB3CC8">
        <w:t xml:space="preserve">SW </w:t>
      </w:r>
      <w:r w:rsidR="001C175C">
        <w:t>do LGD (Rady),</w:t>
      </w:r>
    </w:p>
    <w:p w14:paraId="6F1B9DAA" w14:textId="2F4D0FE5" w:rsidR="00A02955" w:rsidRDefault="00883C47" w:rsidP="00CB3CC8">
      <w:pPr>
        <w:pStyle w:val="Akapitzlist"/>
        <w:numPr>
          <w:ilvl w:val="0"/>
          <w:numId w:val="7"/>
        </w:numPr>
      </w:pPr>
      <w:r>
        <w:t>beneficjent, LGD</w:t>
      </w:r>
      <w:r w:rsidR="00CB3CC8">
        <w:t xml:space="preserve">, SW, ARiMR jednolity przekaz i podejście – prosty zrozumiały język procedur, nie </w:t>
      </w:r>
      <w:r w:rsidR="00961E88">
        <w:t>budzący</w:t>
      </w:r>
      <w:r w:rsidR="00CB3CC8">
        <w:t xml:space="preserve"> wątpliwo</w:t>
      </w:r>
      <w:r w:rsidR="00EA6C0A">
        <w:t>ś</w:t>
      </w:r>
      <w:r w:rsidR="003C6651">
        <w:t>ci interpretacyjnych</w:t>
      </w:r>
    </w:p>
    <w:p w14:paraId="1A64B0AE" w14:textId="3CC6785C" w:rsidR="009D11BC" w:rsidRDefault="00693C3B" w:rsidP="00CB3CC8">
      <w:pPr>
        <w:pStyle w:val="Akapitzlist"/>
        <w:numPr>
          <w:ilvl w:val="0"/>
          <w:numId w:val="7"/>
        </w:numPr>
      </w:pPr>
      <w:r>
        <w:t>przewartościowanie podejścia LGD do składu organów – Rada, Zarząd</w:t>
      </w:r>
    </w:p>
    <w:p w14:paraId="51F719AB" w14:textId="45ED3A3F" w:rsidR="00A35051" w:rsidRDefault="00284D61" w:rsidP="00A35051">
      <w:pPr>
        <w:pStyle w:val="Akapitzlist"/>
        <w:numPr>
          <w:ilvl w:val="0"/>
          <w:numId w:val="7"/>
        </w:numPr>
      </w:pPr>
      <w:r>
        <w:lastRenderedPageBreak/>
        <w:t>większa rozpoznawalność LGD – promuje nie tylko biuro LGD</w:t>
      </w:r>
      <w:r w:rsidR="004D4E5F">
        <w:t>,</w:t>
      </w:r>
      <w:r>
        <w:t xml:space="preserve"> ale również pozostali członkowie</w:t>
      </w:r>
      <w:r w:rsidR="00A35051" w:rsidRPr="00A35051">
        <w:t xml:space="preserve"> </w:t>
      </w:r>
    </w:p>
    <w:p w14:paraId="7D3E29CF" w14:textId="38E04FFD" w:rsidR="00A35051" w:rsidRDefault="00A35051" w:rsidP="00A35051">
      <w:pPr>
        <w:pStyle w:val="Akapitzlist"/>
        <w:numPr>
          <w:ilvl w:val="0"/>
          <w:numId w:val="7"/>
        </w:numPr>
      </w:pPr>
      <w:r>
        <w:t>instytucje państwowe powinny dzielić się dobrymi praktykami np. NIW (Narodowy Instytut Wolności)</w:t>
      </w:r>
      <w:r w:rsidR="004D4E5F">
        <w:t xml:space="preserve"> w zakresie rozliczania przez rezultaty</w:t>
      </w:r>
    </w:p>
    <w:p w14:paraId="409AE1BA" w14:textId="3DE0DC0C" w:rsidR="00284D61" w:rsidRDefault="00D351B4" w:rsidP="00284D61">
      <w:pPr>
        <w:pStyle w:val="Akapitzlist"/>
        <w:numPr>
          <w:ilvl w:val="0"/>
          <w:numId w:val="7"/>
        </w:numPr>
      </w:pPr>
      <w:r>
        <w:t>odejść od dominacji samorządów</w:t>
      </w:r>
    </w:p>
    <w:p w14:paraId="00673E63" w14:textId="77777777" w:rsidR="00491BFD" w:rsidRDefault="00491BFD" w:rsidP="00491BFD"/>
    <w:p w14:paraId="4242044E" w14:textId="77777777" w:rsidR="00491BFD" w:rsidRDefault="00491BFD" w:rsidP="00491BFD"/>
    <w:p w14:paraId="79ABF687" w14:textId="77777777" w:rsidR="00491BFD" w:rsidRDefault="00491BFD" w:rsidP="00491BFD"/>
    <w:p w14:paraId="551DA336" w14:textId="77777777" w:rsidR="00491BFD" w:rsidRDefault="00491BFD" w:rsidP="00491BFD"/>
    <w:p w14:paraId="6D0B265B" w14:textId="77777777" w:rsidR="00491BFD" w:rsidRDefault="00491BFD" w:rsidP="00491BFD"/>
    <w:p w14:paraId="35071898" w14:textId="77777777" w:rsidR="001A3CDA" w:rsidRDefault="001A3CDA" w:rsidP="001A3CDA"/>
    <w:p w14:paraId="1414720F" w14:textId="2218BD4B" w:rsidR="001A3CDA" w:rsidRDefault="001A3CDA" w:rsidP="001A3CDA">
      <w:r>
        <w:t xml:space="preserve">SYSTEM WDRAŻANIA – REKOMENDACJE </w:t>
      </w:r>
    </w:p>
    <w:p w14:paraId="67FEECBE" w14:textId="0D54B81F" w:rsidR="00284D61" w:rsidRDefault="00284D61" w:rsidP="00284D61">
      <w:pPr>
        <w:pStyle w:val="Akapitzlist"/>
        <w:numPr>
          <w:ilvl w:val="0"/>
          <w:numId w:val="7"/>
        </w:numPr>
      </w:pPr>
      <w:r>
        <w:t xml:space="preserve">ujednolicenie </w:t>
      </w:r>
      <w:r w:rsidR="00582618">
        <w:t xml:space="preserve">i uproszczenie </w:t>
      </w:r>
      <w:r>
        <w:t>procedur</w:t>
      </w:r>
    </w:p>
    <w:p w14:paraId="5EEEFDF0" w14:textId="74DDC66B" w:rsidR="00034CF7" w:rsidRDefault="00034CF7" w:rsidP="00284D61">
      <w:pPr>
        <w:pStyle w:val="Akapitzlist"/>
        <w:numPr>
          <w:ilvl w:val="0"/>
          <w:numId w:val="7"/>
        </w:numPr>
      </w:pPr>
      <w:r>
        <w:t>jednolite zasady i dokumenty</w:t>
      </w:r>
      <w:r w:rsidR="00CE26A6">
        <w:t xml:space="preserve"> nie tylko w pionie ale i w poziomie (czyli na wszystkich szczeblach </w:t>
      </w:r>
      <w:proofErr w:type="spellStart"/>
      <w:r w:rsidR="00CE26A6">
        <w:t>MRiRW</w:t>
      </w:r>
      <w:proofErr w:type="spellEnd"/>
      <w:r w:rsidR="00CE26A6">
        <w:t>-</w:t>
      </w:r>
      <w:proofErr w:type="spellStart"/>
      <w:r w:rsidR="00CE26A6">
        <w:t>MiR</w:t>
      </w:r>
      <w:proofErr w:type="spellEnd"/>
      <w:r w:rsidR="00CE26A6">
        <w:t>-SW-ARiMR-LGD</w:t>
      </w:r>
    </w:p>
    <w:p w14:paraId="4D92FDDD" w14:textId="523FD3D2" w:rsidR="00883B83" w:rsidRDefault="00883B83" w:rsidP="00284D61">
      <w:pPr>
        <w:pStyle w:val="Akapitzlist"/>
        <w:numPr>
          <w:ilvl w:val="0"/>
          <w:numId w:val="7"/>
        </w:numPr>
      </w:pPr>
      <w:r>
        <w:t>jeden system elektroniczny – platforma współpracy na wszystkich poziomach</w:t>
      </w:r>
      <w:r w:rsidR="004D4E5F">
        <w:t xml:space="preserve"> i dla wszystkich funduszy</w:t>
      </w:r>
    </w:p>
    <w:p w14:paraId="61B689A4" w14:textId="39232F8F" w:rsidR="00034CF7" w:rsidRDefault="00ED4442" w:rsidP="00284D61">
      <w:pPr>
        <w:pStyle w:val="Akapitzlist"/>
        <w:numPr>
          <w:ilvl w:val="0"/>
          <w:numId w:val="7"/>
        </w:numPr>
      </w:pPr>
      <w:r>
        <w:t>ryczałty rozszerzone maksymalnie</w:t>
      </w:r>
      <w:r w:rsidR="0040769E">
        <w:t xml:space="preserve"> jak się da na wszystkie fundusze</w:t>
      </w:r>
    </w:p>
    <w:p w14:paraId="53FFFAC4" w14:textId="46FBC4CE" w:rsidR="00ED4442" w:rsidRDefault="00ED4442" w:rsidP="00284D61">
      <w:pPr>
        <w:pStyle w:val="Akapitzlist"/>
        <w:numPr>
          <w:ilvl w:val="0"/>
          <w:numId w:val="7"/>
        </w:numPr>
      </w:pPr>
      <w:r>
        <w:t>zmniejszenie liczby załączników</w:t>
      </w:r>
    </w:p>
    <w:p w14:paraId="43B9F298" w14:textId="1CD9C300" w:rsidR="00ED4442" w:rsidRDefault="00ED4442" w:rsidP="00284D61">
      <w:pPr>
        <w:pStyle w:val="Akapitzlist"/>
        <w:numPr>
          <w:ilvl w:val="0"/>
          <w:numId w:val="7"/>
        </w:numPr>
      </w:pPr>
      <w:r>
        <w:t>jednolite interpretacje tych samych przepisów</w:t>
      </w:r>
    </w:p>
    <w:p w14:paraId="4458C711" w14:textId="3C6FC2C6" w:rsidR="00ED4442" w:rsidRDefault="00ED4442" w:rsidP="00284D61">
      <w:pPr>
        <w:pStyle w:val="Akapitzlist"/>
        <w:numPr>
          <w:ilvl w:val="0"/>
          <w:numId w:val="7"/>
        </w:numPr>
      </w:pPr>
      <w:r>
        <w:t>jednolite nazewnictwo wskaźników we wszystkich programach</w:t>
      </w:r>
    </w:p>
    <w:p w14:paraId="691A9916" w14:textId="0F8C59D0" w:rsidR="00ED4442" w:rsidRDefault="00ED4442" w:rsidP="00284D61">
      <w:pPr>
        <w:pStyle w:val="Akapitzlist"/>
        <w:numPr>
          <w:ilvl w:val="0"/>
          <w:numId w:val="7"/>
        </w:numPr>
      </w:pPr>
      <w:r>
        <w:t>ewolucja</w:t>
      </w:r>
      <w:r w:rsidR="00AD2DED">
        <w:t>,</w:t>
      </w:r>
      <w:r>
        <w:t xml:space="preserve"> a nie rewolucja</w:t>
      </w:r>
    </w:p>
    <w:p w14:paraId="33BAF905" w14:textId="06730BCA" w:rsidR="003E2C74" w:rsidRDefault="00A35051" w:rsidP="00284D61">
      <w:pPr>
        <w:pStyle w:val="Akapitzlist"/>
        <w:numPr>
          <w:ilvl w:val="0"/>
          <w:numId w:val="7"/>
        </w:numPr>
      </w:pPr>
      <w:r>
        <w:t>aktywizacja nad biurokracją</w:t>
      </w:r>
    </w:p>
    <w:p w14:paraId="1CCD2E39" w14:textId="615CF3E8" w:rsidR="00A35051" w:rsidRDefault="000E6976" w:rsidP="00284D61">
      <w:pPr>
        <w:pStyle w:val="Akapitzlist"/>
        <w:numPr>
          <w:ilvl w:val="0"/>
          <w:numId w:val="7"/>
        </w:numPr>
      </w:pPr>
      <w:r>
        <w:t>w SW jedna grupa decyzyjna – jeden Marszałek odpowiedzialny za RLKS</w:t>
      </w:r>
    </w:p>
    <w:p w14:paraId="6C49AC1E" w14:textId="6D3910A7" w:rsidR="000E6976" w:rsidRDefault="000E6976" w:rsidP="00284D61">
      <w:pPr>
        <w:pStyle w:val="Akapitzlist"/>
        <w:numPr>
          <w:ilvl w:val="0"/>
          <w:numId w:val="7"/>
        </w:numPr>
      </w:pPr>
      <w:r>
        <w:t>wdrażanie RLKS w formule bezpośredniej</w:t>
      </w:r>
    </w:p>
    <w:p w14:paraId="4605F29B" w14:textId="2C3B29DA" w:rsidR="000E6976" w:rsidRDefault="00CD7552" w:rsidP="00284D61">
      <w:pPr>
        <w:pStyle w:val="Akapitzlist"/>
        <w:numPr>
          <w:ilvl w:val="0"/>
          <w:numId w:val="7"/>
        </w:numPr>
      </w:pPr>
      <w:r>
        <w:t>rozliczanie kamieni milowych – wyeliminowanie czynników niezależnych od LGD</w:t>
      </w:r>
    </w:p>
    <w:p w14:paraId="277E1D6A" w14:textId="165E4BA5" w:rsidR="00CD7552" w:rsidRDefault="007644AF" w:rsidP="00284D61">
      <w:pPr>
        <w:pStyle w:val="Akapitzlist"/>
        <w:numPr>
          <w:ilvl w:val="0"/>
          <w:numId w:val="7"/>
        </w:numPr>
      </w:pPr>
      <w:r>
        <w:t xml:space="preserve">podobne zasady współpracy </w:t>
      </w:r>
      <w:r w:rsidR="00E86F63">
        <w:t xml:space="preserve">LGD i </w:t>
      </w:r>
      <w:r>
        <w:t>SW – dzisiaj LGD ma 60 dni a SW 4 m-ce</w:t>
      </w:r>
    </w:p>
    <w:p w14:paraId="48648F68" w14:textId="7D294E5C" w:rsidR="007644AF" w:rsidRDefault="001C07CC" w:rsidP="001C07CC">
      <w:pPr>
        <w:pStyle w:val="Akapitzlist"/>
        <w:numPr>
          <w:ilvl w:val="0"/>
          <w:numId w:val="7"/>
        </w:numPr>
      </w:pPr>
      <w:r>
        <w:t>nie wszystko ubierajmy w procedury i sformalizowane zasady współpracy – zwłaszcza na linii LGD-SW</w:t>
      </w:r>
      <w:r w:rsidR="00051D09">
        <w:t>, nie oczekujmy procedur w każdym zakresie</w:t>
      </w:r>
    </w:p>
    <w:p w14:paraId="5297E8CD" w14:textId="45B88768" w:rsidR="001717C7" w:rsidRDefault="00282CBE" w:rsidP="001C07CC">
      <w:pPr>
        <w:pStyle w:val="Akapitzlist"/>
        <w:numPr>
          <w:ilvl w:val="0"/>
          <w:numId w:val="7"/>
        </w:numPr>
      </w:pPr>
      <w:r>
        <w:t>dać LGD swobodę w wyborze projektów</w:t>
      </w:r>
    </w:p>
    <w:p w14:paraId="3C3483FE" w14:textId="60FCAFC5" w:rsidR="00282CBE" w:rsidRDefault="0040769E" w:rsidP="0040769E">
      <w:pPr>
        <w:pStyle w:val="Akapitzlist"/>
        <w:numPr>
          <w:ilvl w:val="0"/>
          <w:numId w:val="7"/>
        </w:numPr>
      </w:pPr>
      <w:r>
        <w:t>uproszczenie projektów własnych, bez limitów kwotowych</w:t>
      </w:r>
    </w:p>
    <w:p w14:paraId="7CAAE9F1" w14:textId="3A88AC91" w:rsidR="0038024D" w:rsidRDefault="0038024D" w:rsidP="0040769E">
      <w:pPr>
        <w:pStyle w:val="Akapitzlist"/>
        <w:numPr>
          <w:ilvl w:val="0"/>
          <w:numId w:val="7"/>
        </w:numPr>
      </w:pPr>
      <w:r>
        <w:t>poufność zamiast bezstronności</w:t>
      </w:r>
      <w:r w:rsidR="00AD2DED">
        <w:t xml:space="preserve"> pracowników LGD</w:t>
      </w:r>
    </w:p>
    <w:p w14:paraId="7BF224AE" w14:textId="09E65C98" w:rsidR="00883B83" w:rsidRDefault="00883B83" w:rsidP="0040769E">
      <w:pPr>
        <w:pStyle w:val="Akapitzlist"/>
        <w:numPr>
          <w:ilvl w:val="0"/>
          <w:numId w:val="7"/>
        </w:numPr>
      </w:pPr>
      <w:r>
        <w:t>równość stron w umowach ramowych – tylko na LGD nałożone są sankcje</w:t>
      </w:r>
    </w:p>
    <w:sectPr w:rsidR="00883B83" w:rsidSect="00065A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2564B"/>
    <w:multiLevelType w:val="hybridMultilevel"/>
    <w:tmpl w:val="88606662"/>
    <w:lvl w:ilvl="0" w:tplc="7C60FD2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D2EB7"/>
    <w:multiLevelType w:val="hybridMultilevel"/>
    <w:tmpl w:val="A52035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000E7D"/>
    <w:multiLevelType w:val="hybridMultilevel"/>
    <w:tmpl w:val="00900398"/>
    <w:lvl w:ilvl="0" w:tplc="7C60FD2A">
      <w:start w:val="3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67112C"/>
    <w:multiLevelType w:val="hybridMultilevel"/>
    <w:tmpl w:val="E278BED2"/>
    <w:lvl w:ilvl="0" w:tplc="7C60FD2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F2938"/>
    <w:multiLevelType w:val="hybridMultilevel"/>
    <w:tmpl w:val="2DE8668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4C54C0"/>
    <w:multiLevelType w:val="hybridMultilevel"/>
    <w:tmpl w:val="2092FA00"/>
    <w:lvl w:ilvl="0" w:tplc="040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CA50FE9"/>
    <w:multiLevelType w:val="hybridMultilevel"/>
    <w:tmpl w:val="D592D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20"/>
    <w:rsid w:val="00034CF7"/>
    <w:rsid w:val="00051D09"/>
    <w:rsid w:val="00065A57"/>
    <w:rsid w:val="000675C3"/>
    <w:rsid w:val="000C64AF"/>
    <w:rsid w:val="000E6976"/>
    <w:rsid w:val="00155E28"/>
    <w:rsid w:val="001717C7"/>
    <w:rsid w:val="001A3CDA"/>
    <w:rsid w:val="001B0CD5"/>
    <w:rsid w:val="001C07CC"/>
    <w:rsid w:val="001C175C"/>
    <w:rsid w:val="0020371A"/>
    <w:rsid w:val="00267FAE"/>
    <w:rsid w:val="00282CBE"/>
    <w:rsid w:val="00284D61"/>
    <w:rsid w:val="0036066C"/>
    <w:rsid w:val="00361E0F"/>
    <w:rsid w:val="00370E1C"/>
    <w:rsid w:val="003717CD"/>
    <w:rsid w:val="0038024D"/>
    <w:rsid w:val="003C315C"/>
    <w:rsid w:val="003C6651"/>
    <w:rsid w:val="003E2C74"/>
    <w:rsid w:val="003E3154"/>
    <w:rsid w:val="003E4FF5"/>
    <w:rsid w:val="0040769E"/>
    <w:rsid w:val="00423AB0"/>
    <w:rsid w:val="00480063"/>
    <w:rsid w:val="00487498"/>
    <w:rsid w:val="00491BFD"/>
    <w:rsid w:val="004B6C4F"/>
    <w:rsid w:val="004D4E5F"/>
    <w:rsid w:val="005055D8"/>
    <w:rsid w:val="005117B6"/>
    <w:rsid w:val="00550CBC"/>
    <w:rsid w:val="00582618"/>
    <w:rsid w:val="005B2518"/>
    <w:rsid w:val="005D1283"/>
    <w:rsid w:val="006622A4"/>
    <w:rsid w:val="00693C3B"/>
    <w:rsid w:val="006F6A22"/>
    <w:rsid w:val="00711916"/>
    <w:rsid w:val="00752AC0"/>
    <w:rsid w:val="007644AF"/>
    <w:rsid w:val="00781738"/>
    <w:rsid w:val="007A355B"/>
    <w:rsid w:val="00883B83"/>
    <w:rsid w:val="00883C47"/>
    <w:rsid w:val="008954F6"/>
    <w:rsid w:val="009164B0"/>
    <w:rsid w:val="00933B90"/>
    <w:rsid w:val="009376EB"/>
    <w:rsid w:val="00951FD2"/>
    <w:rsid w:val="00961E88"/>
    <w:rsid w:val="00975ECE"/>
    <w:rsid w:val="009C04C1"/>
    <w:rsid w:val="009D11BC"/>
    <w:rsid w:val="00A02955"/>
    <w:rsid w:val="00A13F05"/>
    <w:rsid w:val="00A16AFB"/>
    <w:rsid w:val="00A35051"/>
    <w:rsid w:val="00A865D5"/>
    <w:rsid w:val="00AD2DED"/>
    <w:rsid w:val="00AE73BD"/>
    <w:rsid w:val="00B37A96"/>
    <w:rsid w:val="00B769F0"/>
    <w:rsid w:val="00C205B0"/>
    <w:rsid w:val="00C336B6"/>
    <w:rsid w:val="00C34037"/>
    <w:rsid w:val="00CB3CC8"/>
    <w:rsid w:val="00CC2E1E"/>
    <w:rsid w:val="00CD7552"/>
    <w:rsid w:val="00CE26A6"/>
    <w:rsid w:val="00D351B4"/>
    <w:rsid w:val="00D50967"/>
    <w:rsid w:val="00D83712"/>
    <w:rsid w:val="00D8443F"/>
    <w:rsid w:val="00DB1720"/>
    <w:rsid w:val="00DE476A"/>
    <w:rsid w:val="00E02EE2"/>
    <w:rsid w:val="00E4017E"/>
    <w:rsid w:val="00E672BB"/>
    <w:rsid w:val="00E77434"/>
    <w:rsid w:val="00E86F63"/>
    <w:rsid w:val="00EA6C0A"/>
    <w:rsid w:val="00EB3F74"/>
    <w:rsid w:val="00ED4442"/>
    <w:rsid w:val="00EF7CF0"/>
    <w:rsid w:val="00F97DFB"/>
    <w:rsid w:val="00FA1349"/>
    <w:rsid w:val="00FB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8A1AD8"/>
  <w14:defaultImageDpi w14:val="300"/>
  <w15:docId w15:val="{D724521A-0A12-4E60-B155-073D36D1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3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Iwona Olkowicz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Olkowicz</dc:creator>
  <cp:keywords/>
  <dc:description/>
  <cp:lastModifiedBy>Piotr Sadłocha</cp:lastModifiedBy>
  <cp:revision>91</cp:revision>
  <dcterms:created xsi:type="dcterms:W3CDTF">2019-10-01T15:07:00Z</dcterms:created>
  <dcterms:modified xsi:type="dcterms:W3CDTF">2019-10-02T10:37:00Z</dcterms:modified>
</cp:coreProperties>
</file>